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i/>
          <w:iCs/>
          <w:color w:val="666666"/>
          <w:sz w:val="18"/>
          <w:szCs w:val="18"/>
        </w:rPr>
        <w:t xml:space="preserve">Template from tincompliance.com. Three documents in one file for brokers, 3PLs and motor carriers: the carrier onboarding checklist, the three-name match worksheet, and the factoring notice-of-assignment log. Owner-operators leased to a carrier are paid for services and get a 1099-NEC at $2,000 (2026); a broker or shipper paying a carrier for moving goods is paying freight, which Reg. 1.6041-3(c) and CCA 199919032 keep off the 1099 list, though many brokers file anyway. The authority and insurance checks apply either way.</w:t>
      </w:r>
    </w:p>
    <w:p>
      <w:pPr>
        <w:pStyle w:val="Heading1"/>
        <w:spacing w:after="160" w:before="120"/>
      </w:pPr>
      <w:r>
        <w:t xml:space="preserve">Part 1. Carrier onboarding checklist</w:t>
      </w:r>
    </w:p>
    <w:p>
      <w:pPr>
        <w:spacing w:after="160"/>
      </w:pPr>
      <w:r>
        <w:t xml:space="preserve">Carrier legal name: [ ]    MC: [ ]    USDOT: [ ]    Onboarded by: [name], [date]</w:t>
      </w:r>
    </w:p>
    <w:p>
      <w:pPr>
        <w:pStyle w:val="Heading2"/>
        <w:spacing w:after="120" w:before="240"/>
      </w:pPr>
      <w:r>
        <w:t xml:space="preserve">Tax identity</w:t>
      </w:r>
    </w:p>
    <w:p>
      <w:pPr>
        <w:spacing w:after="100"/>
      </w:pPr>
      <w:r>
        <w:t xml:space="preserve">☐  Form W-9 received (Form W-8BEN-E for a Canadian or Mexican carrier). Line 1 is the legal name of the TIN holder. Owner-operator asked the question directly: SSN with the individual’s name (single-member LLC on line 2), or EIN with the entity’s legal name. Never an LLC name over a personal SSN.</w:t>
      </w:r>
    </w:p>
    <w:p>
      <w:pPr>
        <w:spacing w:after="100"/>
      </w:pPr>
      <w:r>
        <w:t xml:space="preserve">☐  Name and TIN pair checked against IRS records; result and date logged. A mismatch is resolved before the first settlement, while the carrier still wants the load.</w:t>
      </w:r>
    </w:p>
    <w:p>
      <w:pPr>
        <w:spacing w:after="100"/>
      </w:pPr>
      <w:r>
        <w:t xml:space="preserve">☐  Backup withholding flag set if the carrier refused a TIN; 24 percent applies to each settlement until a TIN arrives, and the withholding is deposited on Form 945.</w:t>
      </w:r>
    </w:p>
    <w:p>
      <w:pPr>
        <w:pStyle w:val="Heading2"/>
        <w:spacing w:after="120" w:before="240"/>
      </w:pPr>
      <w:r>
        <w:t xml:space="preserve">Operating authority and insurance (FMCSA public records)</w:t>
      </w:r>
    </w:p>
    <w:p>
      <w:pPr>
        <w:spacing w:after="100"/>
      </w:pPr>
      <w:r>
        <w:t xml:space="preserve">☐  Operating authority active for the service type (property, household goods, broker); MC and USDOT numbers match the W-9 legal name; authority grant date recorded.</w:t>
      </w:r>
    </w:p>
    <w:p>
      <w:pPr>
        <w:spacing w:after="100"/>
      </w:pPr>
      <w:r>
        <w:t xml:space="preserve">☐  Insurance on file with FMCSA (BMC-91 or BMC-91X for liability; BMC-34 for cargo where required) and a current certificate from the carrier’s insurer naming the same legal name; expiration dates calendared.</w:t>
      </w:r>
    </w:p>
    <w:p>
      <w:pPr>
        <w:spacing w:after="100"/>
      </w:pPr>
      <w:r>
        <w:t xml:space="preserve">☐  No out-of-service order; safety rating reviewed; date of check recorded. Re-check monthly for active carriers and before any load after a lapse.</w:t>
      </w:r>
    </w:p>
    <w:p>
      <w:pPr>
        <w:pStyle w:val="Heading2"/>
        <w:spacing w:after="120" w:before="240"/>
      </w:pPr>
      <w:r>
        <w:t xml:space="preserve">Fraud and sanctions</w:t>
      </w:r>
    </w:p>
    <w:p>
      <w:pPr>
        <w:spacing w:after="100"/>
      </w:pPr>
      <w:r>
        <w:t xml:space="preserve">☐  Three-name match completed (Part 2): W-9, FMCSA record, insurance certificate and bank account name agree. Any disagreement is resolved by documents, not by phone, before the first load.</w:t>
      </w:r>
    </w:p>
    <w:p>
      <w:pPr>
        <w:spacing w:after="100"/>
      </w:pPr>
      <w:r>
        <w:t xml:space="preserve">☐  Carrier and principals screened against the OFAC SDN and consolidated lists; result and date logged.</w:t>
      </w:r>
    </w:p>
    <w:p>
      <w:pPr>
        <w:spacing w:after="100"/>
      </w:pPr>
      <w:r>
        <w:t xml:space="preserve">☐  Contact details verified against the FMCSA record, not against the email that sent the packet; a changed remit-to address or bank account is confirmed by a call to the number on the FMCSA record.</w:t>
      </w:r>
    </w:p>
    <w:p>
      <w:pPr>
        <w:pStyle w:val="Heading2"/>
        <w:spacing w:after="120" w:before="240"/>
      </w:pPr>
      <w:r>
        <w:t xml:space="preserve">Payment setup</w:t>
      </w:r>
    </w:p>
    <w:p>
      <w:pPr>
        <w:spacing w:after="100"/>
      </w:pPr>
      <w:r>
        <w:t xml:space="preserve">☐  Factoring: notice of assignment on file (Part 3); payments go to the factor; the 1099-NEC, if one is filed, goes to the carrier under the carrier’s TIN.</w:t>
      </w:r>
    </w:p>
    <w:p>
      <w:pPr>
        <w:spacing w:after="100"/>
      </w:pPr>
      <w:r>
        <w:t xml:space="preserve">☐  Fuel advances, detention and accessorials are coded as part of the carrier’s reportable amount; reimbursed tolls and scale fees under an accountable arrangement are coded separately.</w:t>
      </w:r>
    </w:p>
    <w:p>
      <w:pPr>
        <w:spacing w:after="100"/>
      </w:pPr>
      <w:r>
        <w:t xml:space="preserve">☐  Record retention: W-9, match result, FMCSA and insurance printouts, OFAC result and this checklist filed with the carrier record.</w:t>
      </w:r>
    </w:p>
    <w:p>
      <w:pPr>
        <w:pageBreakBefore/>
      </w:pPr>
      <w:r>
        <w:t xml:space="preserve"/>
      </w:r>
    </w:p>
    <w:p>
      <w:pPr>
        <w:pStyle w:val="Heading1"/>
        <w:spacing w:after="160" w:before="120"/>
      </w:pPr>
      <w:r>
        <w:t xml:space="preserve">Part 2. Three-name match worksheet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400"/>
        <w:gridCol w:w="1700"/>
        <w:gridCol w:w="2200"/>
        <w:gridCol w:w="1160"/>
      </w:tblGrid>
      <w:tr>
        <w:tc>
          <w:tcPr>
            <w:tcW w:type="dxa" w:w="1"/>
          </w:tcPr>
          <w:p>
            <w:r>
              <w:rPr>
                <w:b/>
                <w:bCs/>
              </w:rPr>
              <w:t xml:space="preserve">Source</w:t>
            </w:r>
          </w:p>
        </w:tc>
        <w:tc>
          <w:tcPr>
            <w:tcW w:type="dxa" w:w="1"/>
          </w:tcPr>
          <w:p>
            <w:r>
              <w:rPr>
                <w:b/>
                <w:bCs/>
              </w:rPr>
              <w:t xml:space="preserve">Legal name shown</w:t>
            </w:r>
          </w:p>
        </w:tc>
        <w:tc>
          <w:tcPr>
            <w:tcW w:type="dxa" w:w="1"/>
          </w:tcPr>
          <w:p>
            <w:r>
              <w:rPr>
                <w:b/>
                <w:bCs/>
              </w:rPr>
              <w:t xml:space="preserve">TIN or ID number</w:t>
            </w:r>
          </w:p>
        </w:tc>
        <w:tc>
          <w:tcPr>
            <w:tcW w:type="dxa" w:w="1"/>
          </w:tcPr>
          <w:p>
            <w:r>
              <w:rPr>
                <w:b/>
                <w:bCs/>
              </w:rPr>
              <w:t xml:space="preserve">Address</w:t>
            </w:r>
          </w:p>
        </w:tc>
        <w:tc>
          <w:tcPr>
            <w:tcW w:type="dxa" w:w="1"/>
          </w:tcPr>
          <w:p>
            <w:r>
              <w:rPr>
                <w:b/>
                <w:bCs/>
              </w:rPr>
              <w:t xml:space="preserve">Agrees with W-9?</w:t>
            </w:r>
          </w:p>
        </w:tc>
      </w:tr>
      <w:tr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Form W-9 line 1 (line 2 if DBA)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[ ]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[TIN]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[ ]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n/a</w:t>
            </w:r>
          </w:p>
        </w:tc>
      </w:tr>
      <w:tr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FMCSA record (legal name, DBA)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[ ]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[MC / USDOT]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[ ]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[yes / no]</w:t>
            </w:r>
          </w:p>
        </w:tc>
      </w:tr>
      <w:tr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Insurance certificate (insured)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[ ]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[policy]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[ ]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[yes / no]</w:t>
            </w:r>
          </w:p>
        </w:tc>
      </w:tr>
      <w:tr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Bank account (remit-to)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[ ]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[last 4]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[ ]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[yes / no]</w:t>
            </w:r>
          </w:p>
        </w:tc>
      </w:tr>
      <w:tr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Factor (if assigned)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[ ]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[factor EIN]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[ ]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n/a</w:t>
            </w:r>
          </w:p>
        </w:tc>
      </w:tr>
    </w:tbl>
    <w:p>
      <w:pPr>
        <w:spacing w:after="120"/>
      </w:pPr>
      <w:r>
        <w:rPr>
          <w:i/>
          <w:iCs/>
          <w:color w:val="666666"/>
          <w:sz w:val="18"/>
          <w:szCs w:val="18"/>
        </w:rPr>
        <w:t xml:space="preserve">The common fraud pattern is a real carrier’s MC number presented with a different TIN and bank account. A name that does not agree across these rows is a fraud signal before it is a tax problem; the load does not move until the documents agree.</w:t>
      </w:r>
    </w:p>
    <w:p>
      <w:pPr>
        <w:spacing w:after="160"/>
      </w:pPr>
      <w:r>
        <w:t xml:space="preserve">Completed by: [name], [date]. Reviewed by: [name], [date].</w:t>
      </w:r>
    </w:p>
    <w:p>
      <w:pPr>
        <w:pageBreakBefore/>
      </w:pPr>
      <w:r>
        <w:t xml:space="preserve"/>
      </w:r>
    </w:p>
    <w:p>
      <w:pPr>
        <w:pStyle w:val="Heading1"/>
        <w:spacing w:after="160" w:before="120"/>
      </w:pPr>
      <w:r>
        <w:t xml:space="preserve">Part 3. Factoring notice-of-assignment log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000"/>
        <w:gridCol w:w="1300"/>
        <w:gridCol w:w="1300"/>
        <w:gridCol w:w="1300"/>
        <w:gridCol w:w="1460"/>
      </w:tblGrid>
      <w:tr>
        <w:tc>
          <w:tcPr>
            <w:tcW w:type="dxa" w:w="1"/>
          </w:tcPr>
          <w:p>
            <w:r>
              <w:rPr>
                <w:b/>
                <w:bCs/>
              </w:rPr>
              <w:t xml:space="preserve">Carrier (legal name, TIN)</w:t>
            </w:r>
          </w:p>
        </w:tc>
        <w:tc>
          <w:tcPr>
            <w:tcW w:type="dxa" w:w="1"/>
          </w:tcPr>
          <w:p>
            <w:r>
              <w:rPr>
                <w:b/>
                <w:bCs/>
              </w:rPr>
              <w:t xml:space="preserve">Factor (legal name, EIN)</w:t>
            </w:r>
          </w:p>
        </w:tc>
        <w:tc>
          <w:tcPr>
            <w:tcW w:type="dxa" w:w="1"/>
          </w:tcPr>
          <w:p>
            <w:r>
              <w:rPr>
                <w:b/>
                <w:bCs/>
              </w:rPr>
              <w:t xml:space="preserve">NOA received (date)</w:t>
            </w:r>
          </w:p>
        </w:tc>
        <w:tc>
          <w:tcPr>
            <w:tcW w:type="dxa" w:w="1"/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1"/>
          </w:tcPr>
          <w:p>
            <w:r>
              <w:rPr>
                <w:b/>
                <w:bCs/>
              </w:rPr>
              <w:t xml:space="preserve">Released (date)</w:t>
            </w:r>
          </w:p>
        </w:tc>
        <w:tc>
          <w:tcPr>
            <w:tcW w:type="dxa" w:w="1"/>
          </w:tcPr>
          <w:p>
            <w:r>
              <w:rPr>
                <w:b/>
                <w:bCs/>
              </w:rPr>
              <w:t xml:space="preserve">Payee of record for 1099</w:t>
            </w:r>
          </w:p>
        </w:tc>
      </w:tr>
      <w:tr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[ ]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[ ]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[ ]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[ ]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[ ]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Carrier</w:t>
            </w:r>
          </w:p>
        </w:tc>
      </w:tr>
      <w:tr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[ ]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[ ]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[ ]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[ ]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[ ]</w:t>
            </w:r>
          </w:p>
        </w:tc>
        <w:tc>
          <w:tcPr>
            <w:tcW w:type="dxa" w:w="1"/>
          </w:tcPr>
          <w:p>
            <w:r>
              <w:rPr>
                <w:b w:val="false"/>
                <w:bCs w:val="false"/>
              </w:rPr>
              <w:t xml:space="preserve">Carrier</w:t>
            </w:r>
          </w:p>
        </w:tc>
      </w:tr>
    </w:tbl>
    <w:p>
      <w:pPr>
        <w:spacing w:after="120"/>
      </w:pPr>
      <w:r>
        <w:rPr>
          <w:i/>
          <w:iCs/>
          <w:color w:val="666666"/>
          <w:sz w:val="18"/>
          <w:szCs w:val="18"/>
        </w:rPr>
        <w:t xml:space="preserve">The notice of assignment changes where the money goes, not who earned it. Keep the carrier’s TIN as the 1099 payee; a 1099-NEC to the factor is a wrong-TIN return and the carrier’s own return is missing.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b/>
      <w:bCs/>
      <w:color w:val="0B1F3A"/>
      <w:sz w:val="32"/>
      <w:szCs w:val="32"/>
    </w:rPr>
  </w:style>
  <w:style w:type="paragraph" w:styleId="Heading2">
    <w:name w:val="Heading 2"/>
    <w:basedOn w:val="Normal"/>
    <w:next w:val="Normal"/>
    <w:qFormat/>
    <w:rPr>
      <w:b/>
      <w:bCs/>
      <w:color w:val="075E63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2026-10-14T21:06:32.729Z</dcterms:created>
  <dcterms:modified xsi:type="dcterms:W3CDTF">2026-10-14T21:06:32.729Z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